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firstLine="321" w:firstLineChars="100"/>
        <w:jc w:val="center"/>
        <w:rPr>
          <w:rFonts w:hint="eastAsia" w:ascii="黑体" w:hAnsi="黑体" w:eastAsia="黑体" w:cstheme="minorBidi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/>
          <w:bCs/>
          <w:color w:val="000000"/>
          <w:sz w:val="32"/>
          <w:szCs w:val="32"/>
          <w:lang w:val="en-US" w:eastAsia="zh-CN"/>
        </w:rPr>
        <w:t>新时代学前儿童劳动教育的“三味”策略</w:t>
      </w:r>
    </w:p>
    <w:p>
      <w:pPr>
        <w:snapToGrid w:val="0"/>
        <w:spacing w:line="400" w:lineRule="atLeast"/>
        <w:ind w:firstLine="321" w:firstLineChars="100"/>
        <w:jc w:val="center"/>
        <w:rPr>
          <w:rFonts w:hint="eastAsia" w:ascii="黑体" w:hAnsi="黑体" w:eastAsia="黑体" w:cstheme="minorBidi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b/>
          <w:bCs/>
          <w:color w:val="000000"/>
          <w:sz w:val="32"/>
          <w:szCs w:val="32"/>
          <w:lang w:val="en-US" w:eastAsia="zh-CN"/>
        </w:rPr>
        <w:t>——以幼儿园沙水游戏为例</w:t>
      </w:r>
    </w:p>
    <w:p>
      <w:pPr>
        <w:spacing w:line="400" w:lineRule="atLeast"/>
        <w:ind w:firstLine="2650" w:firstLineChars="1100"/>
        <w:rPr>
          <w:rFonts w:hint="eastAsia" w:ascii="楷体" w:hAnsi="楷体" w:eastAsia="楷体" w:cstheme="minorBidi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theme="minorBidi"/>
          <w:b/>
          <w:bCs/>
          <w:sz w:val="24"/>
          <w:szCs w:val="24"/>
          <w:lang w:val="en-US" w:eastAsia="zh-CN"/>
        </w:rPr>
        <w:t>昆山市柏庐幼儿园 张倩怡</w:t>
      </w:r>
    </w:p>
    <w:p>
      <w:pPr>
        <w:snapToGrid w:val="0"/>
        <w:spacing w:line="400" w:lineRule="exact"/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theme="minorBidi"/>
          <w:b/>
          <w:bCs/>
          <w:color w:val="000000"/>
          <w:szCs w:val="21"/>
          <w:shd w:val="clear" w:color="auto" w:fill="FFFFFF"/>
          <w:lang w:val="en-US" w:eastAsia="zh-CN"/>
        </w:rPr>
        <w:t>【摘要】</w:t>
      </w:r>
      <w:r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CN"/>
        </w:rPr>
        <w:t>党的二十大报告提出，“培养德智体美劳全面发展的社会主义建设者和接班人”。劳动教育是幼儿全面和谐发展的重要内容，笔者依托幼儿园江苏省教育学会教育科研课题——传承《朱子家训》：新时代儿童劳动教育实践研究，以幼儿园户外沙水活动为主线，以师幼互动为引领，探索在</w:t>
      </w:r>
      <w:r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Hans"/>
        </w:rPr>
        <w:t>沙水活动</w:t>
      </w:r>
      <w:r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CN"/>
        </w:rPr>
        <w:t>中实施劳动教育的有效途径。</w:t>
      </w:r>
    </w:p>
    <w:p>
      <w:pPr>
        <w:snapToGrid w:val="0"/>
        <w:spacing w:line="4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楷体" w:hAnsi="楷体" w:eastAsia="楷体" w:cstheme="minorBidi"/>
          <w:b/>
          <w:bCs/>
          <w:color w:val="000000"/>
          <w:szCs w:val="21"/>
          <w:shd w:val="clear" w:color="auto" w:fill="FFFFFF"/>
          <w:lang w:val="en-US" w:eastAsia="zh-CN"/>
        </w:rPr>
        <w:t>【关键词】</w:t>
      </w:r>
      <w:r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CN"/>
        </w:rPr>
        <w:t>劳动教育、</w:t>
      </w:r>
      <w:r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Hans"/>
        </w:rPr>
        <w:t>沙水活动</w:t>
      </w:r>
      <w:r>
        <w:rPr>
          <w:rFonts w:hint="eastAsia" w:ascii="楷体" w:hAnsi="楷体" w:eastAsia="楷体" w:cstheme="minorBidi"/>
          <w:color w:val="000000"/>
          <w:szCs w:val="21"/>
          <w:shd w:val="clear" w:color="auto" w:fill="FFFFFF"/>
          <w:lang w:val="en-US" w:eastAsia="zh-CN"/>
        </w:rPr>
        <w:t>、师幼互动。</w:t>
      </w:r>
      <w:bookmarkStart w:id="0" w:name="_GoBack"/>
      <w:bookmarkEnd w:id="0"/>
    </w:p>
    <w:p>
      <w:pPr>
        <w:snapToGrid w:val="0"/>
        <w:spacing w:line="400" w:lineRule="exact"/>
        <w:ind w:firstLine="480" w:firstLineChars="200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eastAsia="zh-Hans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2020年国务院印发关于《关于全面加强新时代大中小学劳动教育的指导意见》明确规定“劳动教育是国民教育体系的重要内容，是学生成长的必要途径，具有树德、增智、强体、育美的综合育人价值”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劳动教育的价值的意义也因此彰显。[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endnoteReference w:id="0"/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]为使劳动教育对幼儿发展产生更大影响，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本文以幼儿园户外沙水活动为例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探寻在沙水游戏中开展学前儿童劳动教育的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内涵及意义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剖析现存的问题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并探讨有效的实施路径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eastAsia="zh-Hans"/>
        </w:rPr>
        <w:t>。</w:t>
      </w:r>
    </w:p>
    <w:p>
      <w:pPr>
        <w:snapToGrid w:val="0"/>
        <w:spacing w:line="400" w:lineRule="exact"/>
        <w:ind w:firstLine="482" w:firstLineChars="200"/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</w:pP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一</w:t>
      </w:r>
      <w:r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eastAsia="zh-Hans"/>
        </w:rPr>
        <w:t>、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CN"/>
        </w:rPr>
        <w:t>识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“味”</w:t>
      </w:r>
      <w:r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eastAsia="zh-Hans"/>
        </w:rPr>
        <w:t>——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沙水游戏中开展劳动教育的内涵</w:t>
      </w:r>
    </w:p>
    <w:p>
      <w:pPr>
        <w:snapToGrid w:val="0"/>
        <w:spacing w:line="400" w:lineRule="exact"/>
        <w:ind w:firstLine="480" w:firstLineChars="200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在幼儿园户外游戏中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沙水游戏是最受幼儿欢迎的游戏之一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沙和水作为一种无结构材料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可以最大限度地激发幼儿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充分想象力和创造力。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沙水游戏与劳动教育具有内在的关联性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：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首先从劳动目的来看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需要幼儿有目的地改造外部世界，主动作用于其周围的环境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在沙水游戏中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通过挖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铲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堆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运等劳动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感受沙水的特征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建构主题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；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其次从劳动方式来看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主要体现在使用工具和分工协作形式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在沙水游戏中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幼儿使用铲子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水桶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水管等材料进行游戏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在游戏中会合作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有分工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；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最后从劳动过程上来看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需要教师的有力支持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沙水游戏中教师通过给予幼儿充分的时间和空间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搭建适宜的经验和材料支架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支持幼儿在沙水游戏中的劳动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对学前儿童来说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游戏就是一种“劳动”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他们在劳动中游戏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两者之间具有内在的统一性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</w:p>
    <w:p>
      <w:pPr>
        <w:snapToGrid w:val="0"/>
        <w:spacing w:line="400" w:lineRule="exact"/>
        <w:ind w:firstLine="482" w:firstLineChars="200"/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</w:pP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二</w:t>
      </w:r>
      <w:r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、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CN"/>
        </w:rPr>
        <w:t>研“味”——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沙水游戏中开展劳动教育的问题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《幼儿园保育教育质量评估指南》A3教育过程B8师幼互动第26条指出：支持幼儿自主选择游戏材料、同伴和玩法，支持幼儿参与一日生活中与自己有关的决策[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endnoteReference w:id="1"/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]。通过与搭班老师探讨并对我园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沙水区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调研，我们发现玩沙游戏现状存在以下问题：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1.环境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创设儿童视角不突出：对游戏场地缺乏有目的的规划，没有发挥游戏场域的区域作用，无法激发幼儿的游戏劳动兴趣。</w:t>
      </w:r>
    </w:p>
    <w:p>
      <w:pPr>
        <w:snapToGrid w:val="0"/>
        <w:spacing w:line="400" w:lineRule="exact"/>
        <w:ind w:firstLine="480" w:firstLineChars="200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工具投放年龄特点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不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符合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现有的玩沙工具种类单一、数量不足，数量较少，不符合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各年龄段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幼儿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的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特点和兴趣需要，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不能推动幼儿游戏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劳动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能力的发展。</w:t>
      </w:r>
    </w:p>
    <w:p>
      <w:pPr>
        <w:snapToGrid w:val="0"/>
        <w:spacing w:line="400" w:lineRule="exact"/>
        <w:ind w:firstLine="480" w:firstLineChars="200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材料选择互动作用不明显：现有的材料无法激发幼儿的操作兴趣，没有发挥材料的作用，阻碍了幼儿劳动能力发展。</w:t>
      </w:r>
    </w:p>
    <w:p>
      <w:pPr>
        <w:snapToGrid w:val="0"/>
        <w:spacing w:line="400" w:lineRule="exact"/>
        <w:ind w:firstLine="480" w:firstLineChars="200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我们以培养幼儿劳动精神、发展幼儿劳动能力为目标，基于幼儿兴趣点和需要，针对以上问题，对沙水的游戏进行了调整。</w:t>
      </w:r>
    </w:p>
    <w:p>
      <w:pPr>
        <w:snapToGrid w:val="0"/>
        <w:spacing w:line="400" w:lineRule="exact"/>
        <w:ind w:firstLine="482" w:firstLineChars="200"/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</w:pP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CN"/>
        </w:rPr>
        <w:t>三、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寻“味”</w:t>
      </w:r>
      <w:r>
        <w:rPr>
          <w:rFonts w:hint="default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——</w:t>
      </w:r>
      <w:r>
        <w:rPr>
          <w:rFonts w:hint="eastAsia" w:ascii="黑体" w:hAnsi="黑体" w:eastAsia="黑体" w:cstheme="minorBidi"/>
          <w:b/>
          <w:bCs/>
          <w:color w:val="000000"/>
          <w:sz w:val="24"/>
          <w:szCs w:val="24"/>
          <w:lang w:val="en-US" w:eastAsia="zh-Hans"/>
        </w:rPr>
        <w:t>沙水游戏中开展劳动教育的策略</w:t>
      </w:r>
    </w:p>
    <w:p>
      <w:pPr>
        <w:snapToGrid w:val="0"/>
        <w:spacing w:line="400" w:lineRule="exact"/>
        <w:ind w:firstLine="482" w:firstLineChars="200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（一）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重构游戏场域，挖掘劳动教育“自然味”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 xml:space="preserve">   教育家卢梭主张“归于自然”的教育，认为自然就是最好的老师，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陈鹤琴先生提出的“活教育”理论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指出“大自然大社会是我们的活教材”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首先沙和水本身就是自然的产物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幼儿乐于在自然的环境中进行劳作与探索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其次打造富有“自然味”的游戏场域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进一步激发幼儿劳动的愿望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丰富劳动的内容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拓展幼儿的劳动经验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1. 精设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“自然”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空间，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独立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与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互通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并行。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</w:pP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我们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通过对幼儿玩沙游戏现状的观察，师幼共同讨论并对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沙水区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环境进行了调整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将自然空间扩大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根据区域特征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创设独立游戏空间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同时进行互通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增加游戏中的互动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原先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沙水区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就是一整块沙池，现在我们将沙池和后面的种植区进行了互通，规划了游戏场所——沙水王国（独立空间，干湿分离）、户外营地（以角色游戏娃娃家为主）、沙堡建构（独立空间，支持幼儿搭建）、沙土作坊（制作区、观赏区）、户外风光（独立空间，方便绘画创作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增设“自然”材料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丰富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与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适宜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并举。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自然材料都是底结构材料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能激发幼儿的创造性游戏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丰富幼儿的劳动内容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原有的材料就是成品玩具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作为劳动工具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只能进行简单的挖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铲等简单劳动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针对材料单一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游戏内容重复的问题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我们鼓励幼儿大胆表达自己的游戏需求，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共同收集自然材料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并进行分类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、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归纳的劳动活动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鼓励、支持幼儿参与到自己的游戏环境创设中来。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基于幼儿有兴趣需要，我们再根据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不同年龄幼儿的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特点对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沙水区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5个游戏场地投放了有目的性、可操作性的材料，每个区域都搬了柜子，便于幼儿整理和收纳材料，共同建立了玩沙资源库。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690"/>
        <w:gridCol w:w="281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24" w:type="dxa"/>
            <w:shd w:val="clear" w:color="auto" w:fill="C5E0B3" w:themeFill="accent6" w:themeFillTint="66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游戏区</w:t>
            </w:r>
          </w:p>
        </w:tc>
        <w:tc>
          <w:tcPr>
            <w:tcW w:w="2690" w:type="dxa"/>
            <w:shd w:val="clear" w:color="auto" w:fill="C5E0B3" w:themeFill="accent6" w:themeFillTint="66"/>
            <w:vAlign w:val="center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环境创设</w:t>
            </w:r>
          </w:p>
        </w:tc>
        <w:tc>
          <w:tcPr>
            <w:tcW w:w="2817" w:type="dxa"/>
            <w:shd w:val="clear" w:color="auto" w:fill="C5E0B3" w:themeFill="accent6" w:themeFillTint="66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Hans"/>
              </w:rPr>
              <w:t>原有材料</w:t>
            </w:r>
          </w:p>
        </w:tc>
        <w:tc>
          <w:tcPr>
            <w:tcW w:w="1689" w:type="dxa"/>
            <w:shd w:val="clear" w:color="auto" w:fill="C5E0B3" w:themeFill="accent6" w:themeFillTint="66"/>
            <w:vAlign w:val="center"/>
          </w:tcPr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Hans"/>
              </w:rPr>
              <w:t>增加材料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沙水王国</w:t>
            </w:r>
          </w:p>
        </w:tc>
        <w:tc>
          <w:tcPr>
            <w:tcW w:w="2690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增设游戏计划移动黑板</w:t>
            </w:r>
          </w:p>
        </w:tc>
        <w:tc>
          <w:tcPr>
            <w:tcW w:w="2817" w:type="dxa"/>
          </w:tcPr>
          <w:p>
            <w:pPr>
              <w:spacing w:line="240" w:lineRule="auto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水桶、铲子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管道</w:t>
            </w:r>
          </w:p>
        </w:tc>
        <w:tc>
          <w:tcPr>
            <w:tcW w:w="1689" w:type="dxa"/>
            <w:vMerge w:val="restart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石头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树枝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贝壳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竹子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木片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竹筒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户外营地</w:t>
            </w:r>
          </w:p>
        </w:tc>
        <w:tc>
          <w:tcPr>
            <w:tcW w:w="2690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增加小木屋</w:t>
            </w:r>
          </w:p>
        </w:tc>
        <w:tc>
          <w:tcPr>
            <w:tcW w:w="2817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锅碗瓢盆、桌布</w:t>
            </w:r>
          </w:p>
        </w:tc>
        <w:tc>
          <w:tcPr>
            <w:tcW w:w="1689" w:type="dxa"/>
            <w:vMerge w:val="continue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沙堡建构</w:t>
            </w:r>
          </w:p>
        </w:tc>
        <w:tc>
          <w:tcPr>
            <w:tcW w:w="2690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增加工具架</w:t>
            </w:r>
          </w:p>
        </w:tc>
        <w:tc>
          <w:tcPr>
            <w:tcW w:w="2817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竹筏、积木、水管</w:t>
            </w:r>
          </w:p>
        </w:tc>
        <w:tc>
          <w:tcPr>
            <w:tcW w:w="1689" w:type="dxa"/>
            <w:vMerge w:val="continue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沙土作坊</w:t>
            </w:r>
          </w:p>
        </w:tc>
        <w:tc>
          <w:tcPr>
            <w:tcW w:w="2690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增加操作桌、展示柜</w:t>
            </w:r>
          </w:p>
        </w:tc>
        <w:tc>
          <w:tcPr>
            <w:tcW w:w="2817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各种模具</w:t>
            </w:r>
          </w:p>
        </w:tc>
        <w:tc>
          <w:tcPr>
            <w:tcW w:w="1689" w:type="dxa"/>
            <w:vMerge w:val="continue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户外风光</w:t>
            </w:r>
          </w:p>
        </w:tc>
        <w:tc>
          <w:tcPr>
            <w:tcW w:w="2690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创设树下涂鸦保鲜膜墙</w:t>
            </w:r>
          </w:p>
        </w:tc>
        <w:tc>
          <w:tcPr>
            <w:tcW w:w="2817" w:type="dxa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颜料、画笔、刷子、水桶</w:t>
            </w:r>
          </w:p>
        </w:tc>
        <w:tc>
          <w:tcPr>
            <w:tcW w:w="1689" w:type="dxa"/>
            <w:vMerge w:val="continue"/>
          </w:tcPr>
          <w:p>
            <w:pPr>
              <w:spacing w:line="240" w:lineRule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（二）开展多元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活动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，体验劳动教育“生活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味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陶行知先生的生活教育理论提出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“生活教育是以生活为中心的教育”，劳动教育是生活教育的重要组成部分，在沙水游戏中开展多元化的生活劳动，在劳动教育课程建设中，我们充分发挥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沙水区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的资源，组织丰富多样的生活劳作游戏，力求让幼儿在充满“生活味”的游戏中体验劳动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教育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获得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全面发展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1.生活劳动：以生活资源，培养良好劳动习惯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结合《指南》中班幼儿年龄特点制定生活劳动目标：做一个善自理、勇自立的生活小主人。我们以劳动习惯和劳动态度为切入点，融合生活中的劳动经验，全面引导幼儿自我管理、自我服务，最终培养良好的生活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在“户外营地”游戏中，幼儿自发生成娃娃家游戏，隐含的劳动内容有擦洗桌子锅碗、整理厨房工具、分类摆放餐具等，此时幼儿在游戏中体验了生活劳动，劳动教育潜移默化在幼儿的行动中。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2.工艺劳动：以自然资源，激活美工劳动创作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结合《指南》中班幼儿年龄特点制定工艺劳动目标：做一个乐畅想、巧创造的艺术小达人。我们以劳动审美、劳动创造为切入点，整合生活中的手工活动，全方位引导幼儿感知劳动中的艺术、艺术中的劳动。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在“沙土作坊”游戏中，我们构建了“探沙、玩沙、用沙、创沙”四大板块，幼儿通过与同伴合作、与沙土互动的方式，感知沙土的艺术、感受沙土的魅力。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3.科学劳动：以人文资源，激发科学劳动思维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结合《指南》中班幼儿年龄特点制定科学劳动目标：做一个善发现、爱探究的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科技小达人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。我们以劳动探索、劳动思维为切入点，整合生活中的科探活动，保证幼儿通过对材料的直接感知、亲身体验、实际操作，获得多方面的发展。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在“沙堡建构”游戏中，幼儿对“盖房子”、“挖水渠”感兴趣，我们鼓励幼儿自发、自主、大胆地探究、尝试、创新，支持幼儿不断地探究、建构，体现《指南》各领域发展目标。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（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三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）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搭建学习支架，凸显劳动教育“游戏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Hans"/>
        </w:rPr>
        <w:t>味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虞永平教授在课程游戏化推进中指出“游戏化符合幼儿身心发展的特点，强调游戏化也是为了更贴近幼儿的生活，更加贴近幼儿的兴趣和需要”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。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游戏是实施劳动教育的重要途径和基本活动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幼儿在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游戏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中获得技能与经验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又将新经验作用于劳动中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Hans"/>
        </w:rPr>
        <w:t>这一过程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都离不开师幼共同参与，游戏前的计划需要教师引导，游戏中的行为需要教师支持，游戏后的想法需要教师的倾听，让幼儿在“有计划”、“有挑战”、“有拓展”的师幼互动中梳理游戏劳动经验，促进深度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1.有计划——思维前置，制定劳动计划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我们尊重幼儿需求，鼓励幼儿制定三份劳动计划，分别针对游戏前的想法、游戏中的行为、游戏后的反思。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①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游戏前计划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我今天想去哪里玩？我想玩什么游戏？我可能需要什么材料？通过预设性的问题可以帮助幼儿有目的地进入游戏区、有方向地选择游戏材料。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②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游戏中计划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：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我的进展怎么样？和我的计划一样吗？通过引发性问题可以帮助幼儿进行比较，自主思考是否需要更改计划。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③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游戏后计划：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我今天的目标完成了吗？没有完成的原因是什么？下次可以怎么做？通过反思性问题可以帮助幼儿对今天的游戏进行回顾和反思，并为下次的游戏做好准备。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幼儿在制定计划的过程中实现自我管理、自主学习，教师在幼儿计划的过程中发现幼儿需求可以及时调整，有利于幼儿劳动教育的实施。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2.有挑战——问题驱动，挖深劳动空间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幼儿的游戏收获如何转化为劳动经验？如何通过劳动经验的复盘促进幼儿深度学习？基于《幼儿园保育教育质量评估指南》，我们在游戏情境中应尊重并回应幼儿的想法与问题，通过开放性提问、推测、讨论等方式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直击问题核心，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支持和拓展每个幼儿在不断调整、不断探索中思考。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①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在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反问提问和解答中培养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幼儿的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思考能力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疑问与解惑的过程是：通过提问，反问，已知而问来激发孩子的思维；探索，再思考，再探索，激发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幼儿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注意并思考在他们玩的过程中所发生的种种事情，例如“如何去做”。为何如此。有没有其它的方式，有没有其它的方式，有没有从另一个角度去考虑问题等等。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玩沙游戏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后的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整理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阶段，我们以“如何清理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玩沙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道具”这个问题引起了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幼儿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的热烈讨论。之后，我们抛出了“如果我直接随便放置”的假设性问题，让幼儿能够更快地进入新的挑战环境，并对其进行想象与思考，最终得到了“放进柜之前要先冲洗干净”、“放进不同游戏区域的柜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子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里”、“与同伴分工协作、共同配合”等策略来完成整理工作。在进行深度思考的过程中，幼儿可以将自己的已有经验转移到新的问题情境中，持续反思与调整自己的作战方案[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endnoteReference w:id="2"/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]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在分析和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创造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中培养高级思考能力。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②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在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探索发现和调整中提高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幼儿</w:t>
      </w: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的</w:t>
      </w:r>
      <w:r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解决能力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在游戏分享阶段，我们转换自己的身份成为了问题提出者，让幼儿有更多更深层次的时间与空间表达自己的看法，持续提高他们解决问题的能力。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在“沙堡建构”游戏中，两组幼儿挖的水渠长度不同，一组宽而短、一组窄而长，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教师通过系列提问设置挑战：“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比一比谁的水渠大？”、“哪条水渠能容纳的船最多？”、“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请数一数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各自有几条船？”、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“你们为什么得出了前后相反的答案？”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、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“你还有其他的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水渠造型吗？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”</w:t>
      </w: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我们用反问持续对幼儿的答案提出疑问，将冲突放大，引起幼儿的注意，从而将幼儿参与活动的积极性完全激发出来。幼儿在“挖水渠”游戏中持续挑战并作出反应，对策略进行了整合，对问题进行了思考，对现象进行了表达，激发了下次的游戏兴趣，进而迁移了今日玩沙经验并形成了新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default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3.有拓展——角色交互，萌发劳动情感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在游戏结束阶段，幼儿习惯用图画表征的形式记录游戏故事。我们要重视幼儿通过绘画、讲述等方式对自己经历过的游戏、阅读图画书、观察等活动的表达表征，将游戏故事按照主题计划、周计划进行对应张贴和摆放，在教室固定开辟一面“倾听与表达墙”，一对一倾听并真实记录幼儿的想法和体验。这些都是教师关注幼儿情感需求、调整教育节奏的素材、更是幼儿回顾游戏情境、计划下次游戏的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玩沙活动结束以后，我们和孩子们就自己的游戏体验开展了讨论，通过“连接式问题”帮助幼儿把新知识和新理解与熟悉的经验联系起来。“挖水渠让你想到了什么？”、“你在其他地方见过或听过挖水渠吗？”、“这些沙土作品让你想起了谁？”……幼儿在有力的师幼互动中，认识和了解工人、手艺人的工作与辛劳，萌发对劳动者的尊敬之情。幼儿像成年人一样，只有当学习内容对幼儿有意义时，他们才能充分地学习、吸收。在动态的劳动过程中，能不断建构起认真专注、积极探究、动态思维、主动创造等内在智慧</w:t>
      </w:r>
      <w:r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theme="minorBidi"/>
          <w:color w:val="000000"/>
          <w:sz w:val="24"/>
          <w:szCs w:val="24"/>
          <w:shd w:val="clear" w:color="auto" w:fill="FFFFFF"/>
          <w:lang w:val="en-US" w:eastAsia="zh-CN"/>
        </w:rPr>
        <w:t>幼儿阶段开展劳动经验需要我们为幼儿创建良好的劳动环境、投放丰富的劳动工具、组织适宜的劳动游戏，引领幼儿亲身参与，体验劳动的艰辛，获得劳动的技能。接下来我们会继续借助丰富的游戏活动，让劳动教育源于生活、归于生活，支持幼儿在自由、自主、愉悦的氛围中培养劳动意识、发展劳动能力、萌发劳动情感！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新宋体" w:hAnsi="新宋体" w:eastAsia="新宋体" w:cs="新宋体"/>
          <w:color w:val="666666"/>
          <w:kern w:val="0"/>
          <w:sz w:val="20"/>
          <w:szCs w:val="20"/>
          <w:lang w:eastAsia="zh-Hans" w:bidi="ar"/>
        </w:rPr>
      </w:pPr>
    </w:p>
    <w:p>
      <w:pPr>
        <w:snapToGrid w:val="0"/>
        <w:spacing w:line="400" w:lineRule="exact"/>
        <w:rPr>
          <w:rFonts w:hint="default" w:ascii="新宋体" w:hAnsi="新宋体" w:eastAsia="新宋体" w:cs="新宋体"/>
          <w:color w:val="666666"/>
          <w:kern w:val="0"/>
          <w:sz w:val="20"/>
          <w:szCs w:val="20"/>
          <w:lang w:val="en-US" w:eastAsia="zh-Hans" w:bidi="ar"/>
        </w:rPr>
      </w:pPr>
      <w:r>
        <w:rPr>
          <w:rFonts w:ascii="楷体" w:hAnsi="楷体" w:eastAsia="楷体"/>
          <w:b/>
          <w:bCs/>
          <w:color w:val="000000"/>
          <w:szCs w:val="21"/>
        </w:rPr>
        <w:t>【参考文献】</w:t>
      </w:r>
    </w:p>
    <w:sectPr>
      <w:endnotePr>
        <w:numFmt w:val="decimal"/>
      </w:end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6">
    <w:p/>
  </w:endnote>
  <w:endnote w:type="continuationSeparator" w:id="7">
    <w:p/>
  </w:endnote>
  <w:endnote w:id="0">
    <w:p>
      <w:pPr>
        <w:snapToGrid w:val="0"/>
        <w:spacing w:line="400" w:lineRule="exact"/>
        <w:ind w:firstLine="420" w:firstLineChars="200"/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endnoteRef/>
      </w: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t>] 何光辉.试论幼儿劳动教育的特点与策略——以幼儿劳动教育清单为例[J].上海教育科研,2023(01):65-69.</w:t>
      </w:r>
    </w:p>
  </w:endnote>
  <w:endnote w:id="1">
    <w:p>
      <w:pPr>
        <w:snapToGrid w:val="0"/>
        <w:spacing w:line="400" w:lineRule="exact"/>
        <w:ind w:firstLine="420" w:firstLineChars="200"/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endnoteRef/>
      </w: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t>] 幼儿园保育教育评估指南</w:t>
      </w:r>
    </w:p>
  </w:endnote>
  <w:endnote w:id="2">
    <w:p>
      <w:pPr>
        <w:snapToGrid w:val="0"/>
        <w:spacing w:line="400" w:lineRule="exact"/>
        <w:ind w:firstLine="420" w:firstLineChars="200"/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endnoteRef/>
      </w:r>
      <w:r>
        <w:rPr>
          <w:rFonts w:hint="eastAsia" w:ascii="楷体" w:hAnsi="楷体" w:eastAsia="楷体" w:cstheme="minorBidi"/>
          <w:color w:val="000000" w:themeColor="text1"/>
          <w:szCs w:val="21"/>
          <w14:textFill>
            <w14:solidFill>
              <w14:schemeClr w14:val="tx1"/>
            </w14:solidFill>
          </w14:textFill>
        </w:rPr>
        <w:t>] 徐欢,凌姗. 利用『三有』策略助推幼儿深度学习[J]. 儿童与健康,2023(1):14-15.</w:t>
      </w:r>
    </w:p>
    <w:p>
      <w:pPr>
        <w:pStyle w:val="3"/>
        <w:snapToGrid w:val="0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65"/>
        <w:textAlignment w:val="auto"/>
        <w:rPr>
          <w:rFonts w:hint="default" w:ascii="楷体" w:hAnsi="楷体" w:eastAsia="楷体" w:cs="楷体"/>
          <w:sz w:val="24"/>
          <w:szCs w:val="24"/>
          <w:lang w:val="en-US" w:eastAsia="zh-C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numFmt w:val="decimal"/>
    <w:endnote w:id="6"/>
    <w:endnote w:id="7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ZTEzZjJlZjlkM2U1ODI5MTk3MWJhMTBlMjAwZTIifQ=="/>
  </w:docVars>
  <w:rsids>
    <w:rsidRoot w:val="61EE76FE"/>
    <w:rsid w:val="011F2F73"/>
    <w:rsid w:val="0BCA21D2"/>
    <w:rsid w:val="15204125"/>
    <w:rsid w:val="16E178E4"/>
    <w:rsid w:val="19694C12"/>
    <w:rsid w:val="197F0428"/>
    <w:rsid w:val="1C52438D"/>
    <w:rsid w:val="267B0308"/>
    <w:rsid w:val="2A7725E1"/>
    <w:rsid w:val="30340204"/>
    <w:rsid w:val="39A9131A"/>
    <w:rsid w:val="47D833AE"/>
    <w:rsid w:val="56F7C564"/>
    <w:rsid w:val="57F3B4C5"/>
    <w:rsid w:val="5C9A30B1"/>
    <w:rsid w:val="61EE76FE"/>
    <w:rsid w:val="6CBF0D32"/>
    <w:rsid w:val="75EA5DD9"/>
    <w:rsid w:val="76A94A52"/>
    <w:rsid w:val="7BFF65F2"/>
    <w:rsid w:val="7ED43484"/>
    <w:rsid w:val="AF6F9C59"/>
    <w:rsid w:val="BE6FC459"/>
    <w:rsid w:val="BEFF20DD"/>
    <w:rsid w:val="BFAF09F4"/>
    <w:rsid w:val="DB77AFE4"/>
    <w:rsid w:val="DFDBB359"/>
    <w:rsid w:val="EABD26B7"/>
    <w:rsid w:val="FF797B25"/>
    <w:rsid w:val="FFD38AA3"/>
    <w:rsid w:val="FF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ndnote reference"/>
    <w:basedOn w:val="7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4588</Words>
  <Characters>4605</Characters>
  <Lines>0</Lines>
  <Paragraphs>0</Paragraphs>
  <TotalTime>2</TotalTime>
  <ScaleCrop>false</ScaleCrop>
  <LinksUpToDate>false</LinksUpToDate>
  <CharactersWithSpaces>4611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2023-06-01T08:06:00Z</dcterms:created>
  <dc:creator>✨ ICEICEICE</dc:creator>
  <cp:lastModifiedBy>芳儿</cp:lastModifiedBy>
  <cp:lastPrinted>2023-06-15T14:45:00Z</cp:lastPrinted>
  <dcterms:modified xsi:type="dcterms:W3CDTF">2023-06-21T08:36:35Z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BB6A881B55FC4D5B8EF524EDC7E28859_13</vt:lpwstr>
  </property>
</Properties>
</file>